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22"/>
        </w:rPr>
      </w:pPr>
      <w:r>
        <w:rPr>
          <w:sz w:val="32"/>
          <w:szCs w:val="22"/>
        </w:rPr>
        <w:t>1.1 Physical and Chemical Changes Notes</w:t>
      </w:r>
    </w:p>
    <w:p/>
    <w:tbl>
      <w:tblPr>
        <w:tblW w:w="8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39"/>
        <w:gridCol w:w="4441"/>
      </w:tblGrid>
      <w:tr>
        <w:trPr>
          <w:trHeight w:val="310" w:hRule="atLeast"/>
        </w:trPr>
        <w:tc>
          <w:tcPr>
            <w:tcW w:w="4439" w:type="dxa"/>
          </w:tcPr>
          <w:p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Physical Change</w:t>
            </w:r>
          </w:p>
        </w:tc>
        <w:tc>
          <w:tcPr>
            <w:tcW w:w="4441" w:type="dxa"/>
          </w:tcPr>
          <w:p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Chemical Change</w:t>
            </w:r>
          </w:p>
        </w:tc>
      </w:tr>
      <w:tr>
        <w:trPr>
          <w:trHeight w:val="1068" w:hRule="atLeast"/>
        </w:trPr>
        <w:tc>
          <w:tcPr>
            <w:tcW w:w="4439" w:type="dxa"/>
          </w:tcPr>
          <w:p>
            <w:r>
              <w:t>Definition</w:t>
            </w:r>
          </w:p>
        </w:tc>
        <w:tc>
          <w:tcPr>
            <w:tcW w:w="4441" w:type="dxa"/>
          </w:tcPr>
          <w:p>
            <w:r>
              <w:t>Definition</w:t>
            </w:r>
          </w:p>
        </w:tc>
      </w:tr>
      <w:tr>
        <w:trPr>
          <w:trHeight w:val="2192" w:hRule="atLeast"/>
        </w:trPr>
        <w:tc>
          <w:tcPr>
            <w:tcW w:w="4439" w:type="dxa"/>
          </w:tcPr>
          <w:p>
            <w:r>
              <w:t>How to Tell</w:t>
            </w:r>
          </w:p>
        </w:tc>
        <w:tc>
          <w:tcPr>
            <w:tcW w:w="4441" w:type="dxa"/>
          </w:tcPr>
          <w:p>
            <w:r>
              <w:t>How to Tell</w:t>
            </w:r>
          </w:p>
          <w:p>
            <w:r>
              <w:t>1.</w:t>
            </w:r>
          </w:p>
          <w:p/>
          <w:p>
            <w:r>
              <w:t>2.</w:t>
            </w:r>
          </w:p>
          <w:p/>
          <w:p>
            <w:r>
              <w:t>3.</w:t>
            </w:r>
          </w:p>
          <w:p/>
          <w:p>
            <w:r>
              <w:t>4.</w:t>
            </w:r>
          </w:p>
          <w:p/>
        </w:tc>
      </w:tr>
      <w:tr>
        <w:trPr>
          <w:trHeight w:val="2035" w:hRule="atLeast"/>
        </w:trPr>
        <w:tc>
          <w:tcPr>
            <w:tcW w:w="4439" w:type="dxa"/>
          </w:tcPr>
          <w:p>
            <w:r>
              <w:t>Examples</w:t>
            </w:r>
          </w:p>
        </w:tc>
        <w:tc>
          <w:tcPr>
            <w:tcW w:w="4441" w:type="dxa"/>
          </w:tcPr>
          <w:p>
            <w:r>
              <w:t>Examples</w:t>
            </w:r>
          </w:p>
        </w:tc>
      </w:tr>
    </w:tbl>
    <w:p/>
    <w:p/>
    <w:tbl>
      <w:tblPr>
        <w:tblW w:w="8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30"/>
        <w:gridCol w:w="4430"/>
      </w:tblGrid>
      <w:tr>
        <w:trPr>
          <w:trHeight w:val="641" w:hRule="atLeast"/>
        </w:trPr>
        <w:tc>
          <w:tcPr>
            <w:tcW w:w="4430" w:type="dxa"/>
          </w:tcPr>
          <w:p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Physical Property</w:t>
            </w:r>
          </w:p>
        </w:tc>
        <w:tc>
          <w:tcPr>
            <w:tcW w:w="4430" w:type="dxa"/>
          </w:tcPr>
          <w:p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Chemical Property</w:t>
            </w:r>
          </w:p>
        </w:tc>
      </w:tr>
      <w:tr>
        <w:trPr>
          <w:trHeight w:val="1887" w:hRule="atLeast"/>
        </w:trPr>
        <w:tc>
          <w:tcPr>
            <w:tcW w:w="4430" w:type="dxa"/>
          </w:tcPr>
          <w:p>
            <w:r>
              <w:t xml:space="preserve">A property is physical if </w:t>
            </w:r>
          </w:p>
        </w:tc>
        <w:tc>
          <w:tcPr>
            <w:tcW w:w="4430" w:type="dxa"/>
          </w:tcPr>
          <w:p>
            <w:r>
              <w:t>A property is chemical if</w:t>
            </w:r>
          </w:p>
        </w:tc>
      </w:tr>
      <w:tr>
        <w:trPr>
          <w:trHeight w:val="3446" w:hRule="atLeast"/>
        </w:trPr>
        <w:tc>
          <w:tcPr>
            <w:tcW w:w="4430" w:type="dxa"/>
          </w:tcPr>
          <w:p>
            <w:r>
              <w:t>Examples</w:t>
            </w:r>
          </w:p>
        </w:tc>
        <w:tc>
          <w:tcPr>
            <w:tcW w:w="4430" w:type="dxa"/>
          </w:tcPr>
          <w:p>
            <w:r>
              <w:t>Examples</w:t>
            </w:r>
            <w:bookmarkStart w:id="0" w:name="_GoBack"/>
            <w:bookmarkEnd w:id="0"/>
          </w:p>
        </w:tc>
      </w:tr>
    </w:tbl>
    <w:p/>
    <w:sectPr>
      <w:pgSz w:w="12247" w:h="15819"/>
      <w:pgMar w:top="1440" w:right="1797" w:bottom="699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2010-05-06T07:11:00Z</dcterms:created>
  <dc:creator>jnewman</dc:creator>
  <cp:lastModifiedBy>jnewman</cp:lastModifiedBy>
  <dcterms:modified xsi:type="dcterms:W3CDTF">2010-05-06T07:13:00Z</dcterms:modified>
  <dc:title>1.1 Physical and Chemical Changes Notes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