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0.2 Converting Units Notes</w:t>
      </w:r>
    </w:p>
    <w:p/>
    <w:p>
      <w:r>
        <w:t>Shhhhh.... the secret to converting units is _______________________________.</w: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28" o:spid="_x0000_s1029" type="#_x0000_t78" style="position:absolute;left:0;margin-left:345.1pt;margin-top:4.75pt;height:70.45pt;width:115.5pt;rotation:10878976f;z-index:251662336;" o:ole="f" fillcolor="#9CBEE0" filled="f" o:preferrelative="t" stroked="t" coordorigin="0,0" coordsize="21600,21600" adj="1552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4" o:spid="_x0000_s1027" type="#_x0000_t78" style="position:absolute;left:0;margin-left:-27pt;margin-top:4.65pt;height:73.95pt;width:115.5pt;rotation:1114112f;z-index:251660288;" o:ole="f" fillcolor="#9CBEE0" filled="f" o:preferrelative="t" stroked="t" coordorigin="0,0" coordsize="21600,21600" adj="1552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>
      <w:r>
        <w:rPr>
          <w:rFonts w:ascii="Times New Roman" w:hAnsi="Times New Roman"/>
          <w:kern w:val="2"/>
          <w:sz w:val="24"/>
          <w:lang w:val="en-US" w:eastAsia="zh-CN"/>
        </w:rPr>
        <w:pict>
          <v:line id="Line 1025" o:spid="_x0000_s1026" style="position:absolute;left:0;flip:x;margin-left:214.8pt;margin-top:2.6pt;height:75.75pt;width:0.05pt;rotation:0f;z-index:25165926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/>
    <w:p/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29" o:spid="_x0000_s1030" type="#_x0000_t78" style="position:absolute;left:0;margin-left:340.95pt;margin-top:6.75pt;height:90pt;width:127.1pt;rotation:13107200f;z-index:251663360;" o:ole="f" fillcolor="#9CBEE0" filled="f" o:preferrelative="t" stroked="t" coordorigin="0,0" coordsize="21600,21600" adj="1552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/>
          <w:kern w:val="2"/>
          <w:sz w:val="24"/>
          <w:lang w:val="en-US" w:eastAsia="zh-CN"/>
        </w:rPr>
        <w:pict>
          <v:line id="Line 1" o:spid="_x0000_s1025" style="position:absolute;left:0;margin-left:56.6pt;margin-top:0.15pt;height:0.05pt;width:311.25pt;rotation:0f;z-index:251658240;" o:ole="f" fillcolor="#9CBEE0" filled="f" o:preferrelative="t" stroked="t" coordsize="21600,21600"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26" o:spid="_x0000_s1028" type="#_x0000_t78" style="position:absolute;left:0;margin-left:-21.5pt;margin-top:0.55pt;height:68.65pt;width:115.5pt;rotation:22740992f;z-index:251661312;" o:ole="f" fillcolor="#9CBEE0" filled="f" o:preferrelative="t" stroked="t" coordorigin="0,0" coordsize="21600,21600" adj="1552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Times New Roman" w:hAnsi="Times New Roman"/>
          <w:kern w:val="2"/>
          <w:sz w:val="24"/>
          <w:lang w:val="en-US" w:eastAsia="zh-CN"/>
        </w:rPr>
        <w:pict>
          <v:shape id="Right Arrow Callout 1030" o:spid="_x0000_s1031" type="#_x0000_t78" style="position:absolute;left:0;margin-left:206.4pt;margin-top:28.95pt;height:90pt;width:85.7pt;rotation:17694720f;z-index:251664384;" o:ole="f" fillcolor="#9CBEE0" filled="f" o:preferrelative="t" stroked="t" coordorigin="0,0" coordsize="21600,21600" adj="15520,5400,18000,8100">
            <v:fill on="f" color2="#BBD5F0" o:opacity2="100%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>
      <w:pPr>
        <w:rPr>
          <w:u w:val="single" w:color="auto"/>
        </w:rPr>
      </w:pPr>
    </w:p>
    <w:p>
      <w:pPr>
        <w:rPr>
          <w:u w:val="single" w:color="auto"/>
        </w:rPr>
      </w:pPr>
    </w:p>
    <w:p>
      <w:pPr>
        <w:rPr>
          <w:u w:val="single" w:color="auto"/>
        </w:rPr>
      </w:pPr>
    </w:p>
    <w:p>
      <w:r>
        <w:rPr>
          <w:u w:val="single" w:color="auto"/>
        </w:rPr>
        <w:t>Examples</w:t>
      </w:r>
    </w:p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>
      <w:r>
        <w:rPr>
          <w:u w:val="single" w:color="auto"/>
        </w:rPr>
        <w:t>Practice</w:t>
      </w:r>
      <w:r>
        <w:t xml:space="preserve"> (more can be found on page __________________)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   Date ___________________ 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2010-05-06T07:11:00Z</dcterms:created>
  <dc:creator>jnewman</dc:creator>
  <cp:lastModifiedBy>jnewman</cp:lastModifiedBy>
  <dcterms:modified xsi:type="dcterms:W3CDTF">2010-05-06T07:13:00Z</dcterms:modified>
  <dc:title>0.2 Converting Units Notes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